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RANGE!A1:AH10"/>
      <w:bookmarkEnd w:id="0"/>
      <w:r>
        <w:rPr>
          <w:rFonts w:hint="eastAsia" w:ascii="宋体" w:hAnsi="宋体" w:eastAsia="宋体" w:cs="宋体"/>
          <w:sz w:val="44"/>
          <w:szCs w:val="44"/>
        </w:rPr>
        <w:t>霸州市</w:t>
      </w:r>
      <w:r>
        <w:rPr>
          <w:rFonts w:hint="eastAsia" w:ascii="宋体" w:hAnsi="宋体" w:eastAsia="宋体" w:cs="宋体"/>
          <w:sz w:val="44"/>
          <w:szCs w:val="44"/>
          <w:lang w:val="en-US" w:eastAsia="zh-CN"/>
        </w:rPr>
        <w:t>老干部局</w:t>
      </w:r>
      <w:r>
        <w:rPr>
          <w:rFonts w:hint="eastAsia" w:ascii="宋体" w:hAnsi="宋体" w:eastAsia="宋体" w:cs="宋体"/>
          <w:sz w:val="44"/>
          <w:szCs w:val="44"/>
        </w:rPr>
        <w:t>202</w:t>
      </w:r>
      <w:r>
        <w:rPr>
          <w:rFonts w:hint="eastAsia" w:ascii="宋体" w:hAnsi="宋体" w:eastAsia="宋体" w:cs="宋体"/>
          <w:sz w:val="44"/>
          <w:szCs w:val="44"/>
          <w:lang w:val="en-US" w:eastAsia="zh-CN"/>
        </w:rPr>
        <w:t>1</w:t>
      </w:r>
      <w:r>
        <w:rPr>
          <w:rFonts w:hint="eastAsia" w:ascii="宋体" w:hAnsi="宋体" w:eastAsia="宋体" w:cs="宋体"/>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霸州市老干部局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pStyle w:val="14"/>
        <w:widowControl/>
        <w:ind w:firstLine="640"/>
        <w:rPr>
          <w:rFonts w:ascii="仿宋" w:hAnsi="仿宋" w:eastAsia="仿宋" w:cs="仿宋"/>
          <w:sz w:val="32"/>
          <w:szCs w:val="32"/>
        </w:rPr>
      </w:pPr>
      <w:r>
        <w:rPr>
          <w:rFonts w:hint="eastAsia" w:ascii="仿宋" w:hAnsi="仿宋" w:eastAsia="仿宋" w:cs="仿宋"/>
          <w:sz w:val="32"/>
          <w:szCs w:val="32"/>
        </w:rPr>
        <w:t>（一）全面贯彻加强党对离退休干部工作集中统一领导要求。负责宣传落实党中央国务院、省委省政府、廊坊市委市政府和霸州市委市政府关于离退休干部工作的方针政策；拟定或参与拟定全市离退休干部工作有关具体规定和办法；总结宣传全市离退休干部工作先进典型。</w:t>
      </w:r>
    </w:p>
    <w:p>
      <w:pPr>
        <w:pStyle w:val="14"/>
        <w:widowControl/>
        <w:ind w:firstLine="640"/>
        <w:rPr>
          <w:rFonts w:ascii="仿宋" w:hAnsi="仿宋" w:eastAsia="仿宋" w:cs="仿宋"/>
          <w:sz w:val="32"/>
          <w:szCs w:val="32"/>
        </w:rPr>
      </w:pPr>
      <w:r>
        <w:rPr>
          <w:rFonts w:hint="eastAsia" w:ascii="仿宋" w:hAnsi="仿宋" w:eastAsia="仿宋" w:cs="仿宋"/>
          <w:sz w:val="32"/>
          <w:szCs w:val="32"/>
        </w:rPr>
        <w:t>（二）组织和协调有关部门做好离退休干部工作。</w:t>
      </w:r>
    </w:p>
    <w:p>
      <w:pPr>
        <w:pStyle w:val="14"/>
        <w:widowControl/>
        <w:ind w:firstLine="640"/>
        <w:rPr>
          <w:rFonts w:ascii="仿宋" w:hAnsi="仿宋" w:eastAsia="仿宋" w:cs="仿宋"/>
          <w:sz w:val="32"/>
          <w:szCs w:val="32"/>
        </w:rPr>
      </w:pPr>
      <w:r>
        <w:rPr>
          <w:rFonts w:hint="eastAsia" w:ascii="仿宋" w:hAnsi="仿宋" w:eastAsia="仿宋" w:cs="仿宋"/>
          <w:sz w:val="32"/>
          <w:szCs w:val="32"/>
        </w:rPr>
        <w:t>（三）负责督促各部门落实离退休干部的政治和生活待遇，做好走访慰问工作。抓好离休干部“两费”（离休费、医药费）的落实；调查研究离退休干部政治和生活待遇中存在的问题，协调有关部门提出解决办法。</w:t>
      </w:r>
    </w:p>
    <w:p>
      <w:pPr>
        <w:pStyle w:val="14"/>
        <w:widowControl/>
        <w:ind w:firstLine="640"/>
        <w:rPr>
          <w:rFonts w:ascii="仿宋" w:hAnsi="仿宋" w:eastAsia="仿宋" w:cs="仿宋"/>
          <w:sz w:val="32"/>
          <w:szCs w:val="32"/>
        </w:rPr>
      </w:pPr>
      <w:r>
        <w:rPr>
          <w:rFonts w:hint="eastAsia" w:ascii="仿宋" w:hAnsi="仿宋" w:eastAsia="仿宋" w:cs="仿宋"/>
          <w:sz w:val="32"/>
          <w:szCs w:val="32"/>
        </w:rPr>
        <w:t>（四）加强对全市离退休干部的政治引领和教育管理。组织拟定和研究制定加强新形式下离退休干部党组织建设、做好离退休干部思想政治工作的制度办法和措施；指导加强离退休干部党组织书记的教育和培训工作。</w:t>
      </w:r>
    </w:p>
    <w:p>
      <w:pPr>
        <w:pStyle w:val="14"/>
        <w:widowControl/>
        <w:ind w:firstLine="640"/>
        <w:rPr>
          <w:rFonts w:ascii="仿宋" w:hAnsi="仿宋" w:eastAsia="仿宋" w:cs="仿宋"/>
          <w:sz w:val="32"/>
          <w:szCs w:val="32"/>
        </w:rPr>
      </w:pPr>
      <w:r>
        <w:rPr>
          <w:rFonts w:hint="eastAsia" w:ascii="仿宋" w:hAnsi="仿宋" w:eastAsia="仿宋" w:cs="仿宋"/>
          <w:sz w:val="32"/>
          <w:szCs w:val="32"/>
        </w:rPr>
        <w:t>（五）指导老干部活动中心、老年大学和医疗门诊部等学习活动阵地的建设与管理。</w:t>
      </w:r>
    </w:p>
    <w:p>
      <w:pPr>
        <w:pStyle w:val="14"/>
        <w:widowControl/>
        <w:ind w:firstLine="640"/>
        <w:rPr>
          <w:rFonts w:ascii="仿宋" w:hAnsi="仿宋" w:eastAsia="仿宋" w:cs="仿宋"/>
          <w:sz w:val="32"/>
          <w:szCs w:val="32"/>
        </w:rPr>
      </w:pPr>
      <w:r>
        <w:rPr>
          <w:rFonts w:hint="eastAsia" w:ascii="仿宋" w:hAnsi="仿宋" w:eastAsia="仿宋" w:cs="仿宋"/>
          <w:sz w:val="32"/>
          <w:szCs w:val="32"/>
        </w:rPr>
        <w:t>（六）指导各单位组织离退休干部利用自身优势，在政治、经济、文化和青少年教育等各领域发挥作用，增添正能量。</w:t>
      </w:r>
    </w:p>
    <w:p>
      <w:pPr>
        <w:pStyle w:val="14"/>
        <w:widowControl/>
        <w:ind w:firstLine="640"/>
        <w:rPr>
          <w:rFonts w:ascii="仿宋" w:hAnsi="仿宋" w:eastAsia="仿宋" w:cs="仿宋"/>
          <w:sz w:val="32"/>
          <w:szCs w:val="32"/>
        </w:rPr>
      </w:pPr>
      <w:r>
        <w:rPr>
          <w:rFonts w:hint="eastAsia" w:ascii="仿宋" w:hAnsi="仿宋" w:eastAsia="仿宋" w:cs="仿宋"/>
          <w:sz w:val="32"/>
          <w:szCs w:val="32"/>
        </w:rPr>
        <w:t>（七）了解离退休干部的医疗保健方面的意见和要求。组织指导离退休干部开展健康科学的文化健身、保健讲座、健康疗养、参观学习。</w:t>
      </w:r>
    </w:p>
    <w:p>
      <w:pPr>
        <w:pStyle w:val="14"/>
        <w:widowControl/>
        <w:ind w:firstLine="640"/>
        <w:rPr>
          <w:rFonts w:ascii="仿宋" w:hAnsi="仿宋" w:eastAsia="仿宋" w:cs="仿宋"/>
          <w:sz w:val="32"/>
          <w:szCs w:val="32"/>
        </w:rPr>
      </w:pPr>
      <w:r>
        <w:rPr>
          <w:rFonts w:hint="eastAsia" w:ascii="仿宋" w:hAnsi="仿宋" w:eastAsia="仿宋" w:cs="仿宋"/>
          <w:sz w:val="32"/>
          <w:szCs w:val="32"/>
        </w:rPr>
        <w:t>（八）负责异地安置离休干部的服务管理工作；代市政府办理补发离休荣誉证。</w:t>
      </w:r>
    </w:p>
    <w:p>
      <w:pPr>
        <w:pStyle w:val="14"/>
        <w:widowControl/>
        <w:ind w:firstLine="640"/>
        <w:rPr>
          <w:rFonts w:ascii="仿宋" w:hAnsi="仿宋" w:eastAsia="仿宋" w:cs="仿宋"/>
          <w:sz w:val="32"/>
          <w:szCs w:val="32"/>
        </w:rPr>
      </w:pPr>
      <w:r>
        <w:rPr>
          <w:rFonts w:hint="eastAsia" w:ascii="仿宋" w:hAnsi="仿宋" w:eastAsia="仿宋" w:cs="仿宋"/>
          <w:sz w:val="32"/>
          <w:szCs w:val="32"/>
        </w:rPr>
        <w:t>（九）负责回市老干部探亲访友和各省区市老干部工作部门到本市的联络接待工作。</w:t>
      </w:r>
    </w:p>
    <w:p>
      <w:pPr>
        <w:pStyle w:val="14"/>
        <w:widowControl/>
        <w:ind w:firstLine="640"/>
        <w:rPr>
          <w:rFonts w:ascii="仿宋" w:hAnsi="仿宋" w:eastAsia="仿宋" w:cs="仿宋"/>
          <w:sz w:val="32"/>
          <w:szCs w:val="32"/>
        </w:rPr>
      </w:pPr>
      <w:r>
        <w:rPr>
          <w:rFonts w:hint="eastAsia" w:ascii="仿宋" w:hAnsi="仿宋" w:eastAsia="仿宋" w:cs="仿宋"/>
          <w:sz w:val="32"/>
          <w:szCs w:val="32"/>
        </w:rPr>
        <w:t>（十）会同有关部门拟定治丧办法。指导逝世老干部的善后工作，协助承办市委交办的丧葬事宜。</w:t>
      </w:r>
    </w:p>
    <w:p>
      <w:pPr>
        <w:pStyle w:val="14"/>
        <w:widowControl/>
        <w:ind w:firstLine="640"/>
        <w:rPr>
          <w:rFonts w:ascii="仿宋" w:hAnsi="仿宋" w:eastAsia="仿宋" w:cs="仿宋"/>
          <w:sz w:val="32"/>
          <w:szCs w:val="32"/>
        </w:rPr>
      </w:pPr>
      <w:r>
        <w:rPr>
          <w:rFonts w:hint="eastAsia" w:ascii="仿宋" w:hAnsi="仿宋" w:eastAsia="仿宋" w:cs="仿宋"/>
          <w:sz w:val="32"/>
          <w:szCs w:val="32"/>
        </w:rPr>
        <w:t>（十一）承担市老干部工作领导小组的日常工作。</w:t>
      </w:r>
    </w:p>
    <w:p>
      <w:pPr>
        <w:pStyle w:val="14"/>
        <w:widowControl/>
        <w:ind w:firstLine="640"/>
        <w:rPr>
          <w:rFonts w:ascii="仿宋" w:hAnsi="仿宋" w:eastAsia="仿宋" w:cs="仿宋"/>
          <w:sz w:val="32"/>
          <w:szCs w:val="32"/>
        </w:rPr>
      </w:pPr>
      <w:r>
        <w:rPr>
          <w:rFonts w:hint="eastAsia" w:ascii="仿宋" w:hAnsi="仿宋" w:eastAsia="仿宋" w:cs="仿宋"/>
          <w:sz w:val="32"/>
          <w:szCs w:val="32"/>
        </w:rPr>
        <w:t>（十二）完成市委交办的其他任务。</w:t>
      </w:r>
    </w:p>
    <w:p>
      <w:pPr>
        <w:ind w:firstLine="643" w:firstLineChars="200"/>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val="en-US" w:eastAsia="zh-CN"/>
              </w:rPr>
              <w:t>霸州市老干部局--办公室</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val="en-US" w:eastAsia="zh-CN"/>
              </w:rPr>
              <w:t>财政拨款（行政机关）</w:t>
            </w:r>
          </w:p>
        </w:tc>
      </w:tr>
    </w:tbl>
    <w:p>
      <w:pPr>
        <w:spacing w:line="560" w:lineRule="exact"/>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Times New Roman" w:eastAsia="仿宋_GB2312" w:cs="Times New Roman"/>
          <w:sz w:val="32"/>
          <w:szCs w:val="32"/>
          <w:lang w:val="en-US" w:eastAsia="zh-CN"/>
        </w:rPr>
        <w:t>因我部门除机关外，无其他下属单位，部门预算即为机关预算，不再单独公开机关预算和单位预算。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780.54</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780.54</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000000" w:themeColor="text1"/>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老干部局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年本部门支出预算</w:t>
      </w:r>
      <w:r>
        <w:rPr>
          <w:rFonts w:hint="eastAsia" w:ascii="仿宋_GB2312" w:hAnsi="Times New Roman" w:eastAsia="仿宋_GB2312" w:cs="Times New Roman"/>
          <w:color w:val="000000" w:themeColor="text1"/>
          <w:sz w:val="32"/>
          <w:szCs w:val="32"/>
          <w:lang w:val="en-US" w:eastAsia="zh-CN"/>
        </w:rPr>
        <w:t>780.54</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479.54</w:t>
      </w:r>
      <w:r>
        <w:rPr>
          <w:rFonts w:hint="eastAsia" w:ascii="仿宋_GB2312" w:hAnsi="Times New Roman" w:eastAsia="仿宋_GB2312" w:cs="Times New Roman"/>
          <w:color w:val="000000" w:themeColor="text1"/>
          <w:sz w:val="32"/>
          <w:szCs w:val="32"/>
        </w:rPr>
        <w:t>万元，包括：人员</w:t>
      </w:r>
      <w:r>
        <w:rPr>
          <w:rFonts w:hint="eastAsia" w:ascii="仿宋_GB2312" w:hAnsi="Times New Roman" w:eastAsia="仿宋_GB2312" w:cs="Times New Roman"/>
          <w:color w:val="000000" w:themeColor="text1"/>
          <w:sz w:val="32"/>
          <w:szCs w:val="32"/>
          <w:lang w:val="en-US" w:eastAsia="zh-CN"/>
        </w:rPr>
        <w:t>类项目</w:t>
      </w:r>
      <w:r>
        <w:rPr>
          <w:rFonts w:hint="eastAsia" w:ascii="仿宋_GB2312" w:hAnsi="Times New Roman" w:eastAsia="仿宋_GB2312" w:cs="Times New Roman"/>
          <w:color w:val="000000" w:themeColor="text1"/>
          <w:sz w:val="32"/>
          <w:szCs w:val="32"/>
        </w:rPr>
        <w:t>经费</w:t>
      </w:r>
      <w:r>
        <w:rPr>
          <w:rFonts w:hint="eastAsia" w:ascii="仿宋_GB2312" w:hAnsi="Times New Roman" w:eastAsia="仿宋_GB2312" w:cs="Times New Roman"/>
          <w:color w:val="000000" w:themeColor="text1"/>
          <w:sz w:val="32"/>
          <w:szCs w:val="32"/>
          <w:lang w:val="en-US" w:eastAsia="zh-CN"/>
        </w:rPr>
        <w:t>428.96</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和</w:t>
      </w:r>
      <w:r>
        <w:rPr>
          <w:rFonts w:hint="eastAsia" w:ascii="仿宋_GB2312" w:hAnsi="Times New Roman" w:eastAsia="仿宋_GB2312" w:cs="Times New Roman"/>
          <w:color w:val="000000" w:themeColor="text1"/>
          <w:sz w:val="32"/>
          <w:szCs w:val="32"/>
          <w:lang w:val="en-US" w:eastAsia="zh-CN"/>
        </w:rPr>
        <w:t>运转类</w:t>
      </w:r>
      <w:r>
        <w:rPr>
          <w:rFonts w:hint="eastAsia" w:ascii="仿宋_GB2312" w:hAnsi="Times New Roman" w:eastAsia="仿宋_GB2312" w:cs="Times New Roman"/>
          <w:color w:val="000000" w:themeColor="text1"/>
          <w:sz w:val="32"/>
          <w:szCs w:val="32"/>
        </w:rPr>
        <w:t>公用</w:t>
      </w:r>
      <w:r>
        <w:rPr>
          <w:rFonts w:hint="eastAsia" w:ascii="仿宋_GB2312" w:hAnsi="Times New Roman" w:eastAsia="仿宋_GB2312" w:cs="Times New Roman"/>
          <w:color w:val="000000" w:themeColor="text1"/>
          <w:sz w:val="32"/>
          <w:szCs w:val="32"/>
          <w:lang w:val="en-US" w:eastAsia="zh-CN"/>
        </w:rPr>
        <w:t>项目</w:t>
      </w:r>
      <w:r>
        <w:rPr>
          <w:rFonts w:hint="eastAsia" w:ascii="仿宋_GB2312" w:hAnsi="Times New Roman" w:eastAsia="仿宋_GB2312" w:cs="Times New Roman"/>
          <w:color w:val="000000" w:themeColor="text1"/>
          <w:sz w:val="32"/>
          <w:szCs w:val="32"/>
        </w:rPr>
        <w:t>经费</w:t>
      </w:r>
      <w:r>
        <w:rPr>
          <w:rFonts w:hint="eastAsia" w:ascii="仿宋_GB2312" w:hAnsi="Times New Roman" w:eastAsia="仿宋_GB2312" w:cs="Times New Roman"/>
          <w:color w:val="000000" w:themeColor="text1"/>
          <w:sz w:val="32"/>
          <w:szCs w:val="32"/>
          <w:lang w:val="en-US" w:eastAsia="zh-CN"/>
        </w:rPr>
        <w:t>50.58</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lang w:val="en-US" w:eastAsia="zh-CN"/>
        </w:rPr>
        <w:t>运转类其他及特定目标类</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301</w:t>
      </w:r>
      <w:r>
        <w:rPr>
          <w:rFonts w:hint="eastAsia" w:ascii="仿宋_GB2312" w:hAnsi="Times New Roman" w:eastAsia="仿宋_GB2312" w:cs="Times New Roman"/>
          <w:color w:val="000000" w:themeColor="text1"/>
          <w:sz w:val="32"/>
          <w:szCs w:val="32"/>
        </w:rPr>
        <w:t>万元，全部为本级</w:t>
      </w:r>
      <w:r>
        <w:rPr>
          <w:rFonts w:ascii="仿宋_GB2312" w:hAnsi="Times New Roman" w:eastAsia="仿宋_GB2312" w:cs="Times New Roman"/>
          <w:color w:val="000000" w:themeColor="text1"/>
          <w:sz w:val="32"/>
          <w:szCs w:val="32"/>
        </w:rPr>
        <w:t>支出，</w:t>
      </w:r>
      <w:r>
        <w:rPr>
          <w:rFonts w:hint="eastAsia" w:ascii="仿宋_GB2312" w:hAnsi="Times New Roman" w:eastAsia="仿宋_GB2312" w:cs="Times New Roman"/>
          <w:color w:val="000000" w:themeColor="text1"/>
          <w:sz w:val="32"/>
          <w:szCs w:val="32"/>
        </w:rPr>
        <w:t>主</w:t>
      </w:r>
      <w:r>
        <w:rPr>
          <w:rFonts w:hint="eastAsia" w:ascii="仿宋_GB2312" w:hAnsi="Times New Roman" w:eastAsia="仿宋_GB2312" w:cs="Times New Roman"/>
          <w:sz w:val="32"/>
          <w:szCs w:val="32"/>
        </w:rPr>
        <w:t>要为</w:t>
      </w:r>
      <w:r>
        <w:rPr>
          <w:rFonts w:hint="eastAsia" w:ascii="仿宋_GB2312" w:hAnsi="Times New Roman" w:eastAsia="仿宋_GB2312" w:cs="Times New Roman"/>
          <w:sz w:val="32"/>
          <w:szCs w:val="32"/>
          <w:lang w:val="en-US" w:eastAsia="zh-CN"/>
        </w:rPr>
        <w:t>离退休干部体检费、离休干部医药费经费、离休干部慰问资金、老干部局综合业务费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780.54</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lang w:val="en-US" w:eastAsia="zh-CN"/>
        </w:rPr>
        <w:t>减少121.39</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减少20.19</w:t>
      </w:r>
      <w:r>
        <w:rPr>
          <w:rFonts w:hint="eastAsia" w:ascii="仿宋_GB2312" w:hAnsi="Times New Roman" w:eastAsia="仿宋_GB2312" w:cs="Times New Roman"/>
          <w:color w:val="000000" w:themeColor="text1"/>
          <w:sz w:val="32"/>
          <w:szCs w:val="32"/>
        </w:rPr>
        <w:t>万元，主要</w:t>
      </w:r>
      <w:r>
        <w:rPr>
          <w:rFonts w:hint="eastAsia" w:ascii="仿宋_GB2312" w:hAnsi="Times New Roman" w:eastAsia="仿宋_GB2312" w:cs="Times New Roman"/>
          <w:color w:val="000000" w:themeColor="text1"/>
          <w:sz w:val="32"/>
          <w:szCs w:val="32"/>
          <w:lang w:val="en-US" w:eastAsia="zh-CN"/>
        </w:rPr>
        <w:t>为2021年有两位退休人员，工资减少</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减少101.2</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离休干部医药费</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减少</w:t>
      </w:r>
      <w:r>
        <w:rPr>
          <w:rFonts w:hint="eastAsia" w:ascii="仿宋_GB2312" w:hAnsi="Times New Roman" w:eastAsia="仿宋_GB2312" w:cs="Times New Roman"/>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50.58</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万元，主要用于办公区的日常维修、办公用房水电费、办公用房取暖费、办公及印刷费，邮电费、差旅费、福利费及一般设备购置费、办公用房物业管理费、公务用车运行维护费等日常运行支出。</w:t>
      </w:r>
      <w:bookmarkStart w:id="4" w:name="_GoBack"/>
      <w:bookmarkEnd w:id="4"/>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2.94</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0.44</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lang w:val="en-US" w:eastAsia="zh-CN"/>
        </w:rPr>
        <w:t>无增减变化</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与2020年持平，无增减变化。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全面贯彻党的离退休干部工作的方针政策，进一步落实好老干部的政治生活待遇，做好离退休干部走访慰问工作，抓好离休干部“两费”（离休费、医药费）和其他待遇的落实，进一步加强离退休党支部建设，指导加强离退休干部党组织书记的教育和培训工作;进一步发挥好老干部的作用，关工委指导、组织离退休干部利用自身优势，在政治、经济、文化和青少年教育等各领域发挥作用，增添正能量;进一步丰富老干部的精神文化生活，老干部活动中心、老年大学、老年书画研究会、老年体协积极组织各项文艺演出、书画教学、交流、展览、老年体育健身展示等活动，为争创经济强市、打造生态新城、建设美丽霸州继续做贡献。</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分项</w:t>
      </w:r>
      <w:r>
        <w:rPr>
          <w:rFonts w:ascii="仿宋_GB2312" w:hAnsi="Times New Roman" w:eastAsia="仿宋_GB2312" w:cs="Times New Roman"/>
          <w:sz w:val="32"/>
          <w:szCs w:val="32"/>
        </w:rPr>
        <w:t>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全面落实离退休干部待遇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绩效目标：全面贯彻党的离退休干部方针政策，落实好离退休老干部的政治、生活待遇。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绩效指标：落实好应享受的离退休老干部政治生活待遇的比率以及及时足额发放率、完成时间，都达到  100%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重点抓好离休干部待遇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绩效目标：做好离退休干部走访慰问工作，抓好离休干部“两费”（离休费、医药费）的落实。</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绩效指标：离休干部（39人）“两费”落实的覆盖率及老干部满意率，应达到100%</w:t>
      </w:r>
    </w:p>
    <w:p>
      <w:pPr>
        <w:spacing w:line="500" w:lineRule="exact"/>
        <w:ind w:firstLine="960" w:firstLineChars="3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组织离退休干部开展好丰富多彩的精神、文化、体育活动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绩效目标：通过开展各项有益活动，丰富老干部的精神文化生活和品质。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绩效指标：老干部参加活动次数（25次）及老干部满意率达到95%</w:t>
      </w:r>
    </w:p>
    <w:p>
      <w:pPr>
        <w:spacing w:line="500" w:lineRule="exact"/>
        <w:ind w:firstLine="960" w:firstLineChars="3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关心下一代，发挥离退休干部余热</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绩效目标：通过关工委组织离退休干部利用自身优势，关心下一代健康成长。</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绩效指标：青少年参加活动次数（60次）及青少年满意率95%</w:t>
      </w:r>
    </w:p>
    <w:p>
      <w:pPr>
        <w:numPr>
          <w:ilvl w:val="0"/>
          <w:numId w:val="1"/>
        </w:numPr>
        <w:ind w:left="0" w:leftChars="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工作保障</w:t>
      </w:r>
      <w:r>
        <w:rPr>
          <w:rFonts w:ascii="仿宋_GB2312" w:hAnsi="Times New Roman" w:eastAsia="仿宋_GB2312" w:cs="Times New Roman"/>
          <w:sz w:val="32"/>
          <w:szCs w:val="32"/>
        </w:rPr>
        <w:t>措施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深入基层，全面落实老干部的政治、生活待遇。全面贯彻落实中央、省、廊坊市离退休干部政策，深入基层、深入各单位，对标各项方针政策，落实好离退休干部的政治待遇“八项规定”，生活待遇方面，“两费”的全面落实。</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组织活动，用科学、健康、文明的生活方式占领离退休干部精神阵地。涉老组织、关工委进一步丰富他们的精神文化生活，多组织开展内容丰富、形式多样、喜闻乐见的群众活动，讲好中国故事，传播好党的声音，弘扬正能量。老年大学、老年体协、老年书画研究会组织线上线下的活动，开展各种培训、学习、创作、笔会、画展、演练等活动，丰富老年文化生活。</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深化教育,进一步加强制度和作风建设。继续深入开展群众路线教育实践活动,深化老干部工作忠孝观念教育、精神状态教育、和谐机关教育,从强化管理入手,重点加强机关制度建设,坚持用制度管理权,按制度办事,靠制度管人,不断改进工作作风,树立和展示新时期老干部工作部门的良好形象,努力造就一支“党性强、政德好、人品正”的老干部工作队伍。</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完善制度，保证各项重要开支在阳光下运行。建立完善预算绩效管理办法，详细制定财务室职责，严格执行财务相关规定，凡开支伍千元以上一律经班子会研究决定后方可列支。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加强绩效运行监控。按要求开展绩效运行监控，发现问题及时采取措施，确保绩效目标如期保质实现。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规范财务资产管理。完善财务管理制度，严格审批程序，加强固定资产登记、使用和报废处置管理，做到支出合理，物尽其用。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Times New Roman" w:eastAsia="方正仿宋_GBK"/>
          <w:sz w:val="28"/>
        </w:rPr>
      </w:pPr>
      <w:r>
        <w:rPr>
          <w:rFonts w:hint="eastAsia" w:ascii="仿宋" w:hAnsi="仿宋" w:eastAsia="仿宋" w:cs="仿宋"/>
          <w:sz w:val="32"/>
          <w:szCs w:val="32"/>
          <w:lang w:val="en-US" w:eastAsia="zh-CN"/>
        </w:rPr>
        <w:t>10、</w:t>
      </w:r>
      <w:r>
        <w:rPr>
          <w:rFonts w:hint="eastAsia" w:ascii="仿宋" w:hAnsi="仿宋" w:eastAsia="仿宋" w:cs="仿宋"/>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0"/>
        </w:numPr>
        <w:tabs>
          <w:tab w:val="left" w:pos="827"/>
        </w:tabs>
        <w:ind w:firstLine="960" w:firstLineChars="3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(四)部门整体支出绩效指标</w:t>
      </w:r>
    </w:p>
    <w:tbl>
      <w:tblPr>
        <w:tblStyle w:val="7"/>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98"/>
        <w:gridCol w:w="1358"/>
        <w:gridCol w:w="1718"/>
        <w:gridCol w:w="825"/>
        <w:gridCol w:w="1949"/>
        <w:gridCol w:w="603"/>
        <w:gridCol w:w="642"/>
        <w:gridCol w:w="69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4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98" w:type="dxa"/>
            <w:vMerge w:val="continue"/>
            <w:tcBorders>
              <w:tl2br w:val="nil"/>
              <w:tr2bl w:val="nil"/>
            </w:tcBorders>
            <w:vAlign w:val="center"/>
          </w:tcPr>
          <w:p/>
        </w:tc>
        <w:tc>
          <w:tcPr>
            <w:tcW w:w="1358" w:type="dxa"/>
            <w:vMerge w:val="continue"/>
            <w:tcBorders>
              <w:tl2br w:val="nil"/>
              <w:tr2bl w:val="nil"/>
            </w:tcBorders>
            <w:vAlign w:val="center"/>
          </w:tcPr>
          <w:p/>
        </w:tc>
        <w:tc>
          <w:tcPr>
            <w:tcW w:w="1718" w:type="dxa"/>
            <w:vMerge w:val="continue"/>
            <w:tcBorders>
              <w:tl2br w:val="nil"/>
              <w:tr2bl w:val="nil"/>
            </w:tcBorders>
            <w:vAlign w:val="center"/>
          </w:tcPr>
          <w:p/>
        </w:tc>
        <w:tc>
          <w:tcPr>
            <w:tcW w:w="825" w:type="dxa"/>
            <w:vMerge w:val="continue"/>
            <w:tcBorders>
              <w:tl2br w:val="nil"/>
              <w:tr2bl w:val="nil"/>
            </w:tcBorders>
            <w:vAlign w:val="center"/>
          </w:tcPr>
          <w:p/>
        </w:tc>
        <w:tc>
          <w:tcPr>
            <w:tcW w:w="1949" w:type="dxa"/>
            <w:vMerge w:val="continue"/>
            <w:tcBorders>
              <w:tl2br w:val="nil"/>
              <w:tr2bl w:val="nil"/>
            </w:tcBorders>
            <w:vAlign w:val="center"/>
          </w:tcPr>
          <w:p/>
        </w:tc>
        <w:tc>
          <w:tcPr>
            <w:tcW w:w="60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4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9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p>
            <w:pPr>
              <w:adjustRightInd w:val="0"/>
              <w:snapToGrid w:val="0"/>
              <w:jc w:val="center"/>
              <w:rPr>
                <w:rFonts w:ascii="方正书宋_GBK" w:eastAsia="方正书宋_GBK"/>
              </w:rPr>
            </w:pPr>
          </w:p>
        </w:tc>
        <w:tc>
          <w:tcPr>
            <w:tcW w:w="13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1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离休干部两费落实人数</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7</w:t>
            </w:r>
          </w:p>
        </w:tc>
        <w:tc>
          <w:tcPr>
            <w:tcW w:w="1949"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离休干部两费落实人数</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37</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人</w:t>
            </w:r>
          </w:p>
        </w:tc>
        <w:tc>
          <w:tcPr>
            <w:tcW w:w="100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数量</w:t>
            </w:r>
          </w:p>
        </w:tc>
        <w:tc>
          <w:tcPr>
            <w:tcW w:w="1718"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离退休干部政治生活待遇落实人数</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7</w:t>
            </w:r>
          </w:p>
        </w:tc>
        <w:tc>
          <w:tcPr>
            <w:tcW w:w="1949"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离退休干部政治生活待遇落实人数</w:t>
            </w:r>
          </w:p>
        </w:tc>
        <w:tc>
          <w:tcPr>
            <w:tcW w:w="6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3500</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人</w:t>
            </w:r>
          </w:p>
        </w:tc>
        <w:tc>
          <w:tcPr>
            <w:tcW w:w="100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历史标准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数量</w:t>
            </w:r>
          </w:p>
        </w:tc>
        <w:tc>
          <w:tcPr>
            <w:tcW w:w="1718" w:type="dxa"/>
            <w:tcBorders>
              <w:tl2br w:val="nil"/>
              <w:tr2bl w:val="nil"/>
            </w:tcBorders>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举办活动次数</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青少年和老干部参加活动次数</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85</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100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历史标准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质量</w:t>
            </w:r>
          </w:p>
        </w:tc>
        <w:tc>
          <w:tcPr>
            <w:tcW w:w="1718" w:type="dxa"/>
            <w:tcBorders>
              <w:tl2br w:val="nil"/>
              <w:tr2bl w:val="nil"/>
            </w:tcBorders>
            <w:vAlign w:val="center"/>
          </w:tcPr>
          <w:p>
            <w:pPr>
              <w:widowControl/>
              <w:adjustRightInd w:val="0"/>
              <w:snapToGrid w:val="0"/>
              <w:jc w:val="left"/>
              <w:rPr>
                <w:rFonts w:hint="eastAsia" w:ascii="方正书宋_GBK" w:eastAsia="方正书宋_GBK"/>
                <w:lang w:val="en-US" w:eastAsia="zh-CN"/>
              </w:rPr>
            </w:pPr>
            <w:r>
              <w:rPr>
                <w:rFonts w:hint="eastAsia" w:ascii="方正书宋_GBK" w:eastAsia="方正书宋_GBK"/>
                <w:lang w:val="en-US" w:eastAsia="zh-CN"/>
              </w:rPr>
              <w:t>各项活动合格率</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各项活动合格率</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8" w:type="dxa"/>
            <w:vMerge w:val="continue"/>
            <w:tcBorders>
              <w:tl2br w:val="nil"/>
              <w:tr2bl w:val="nil"/>
            </w:tcBorders>
            <w:vAlign w:val="center"/>
          </w:tcPr>
          <w:p>
            <w:pPr>
              <w:adjustRightInd w:val="0"/>
              <w:snapToGrid w:val="0"/>
              <w:jc w:val="center"/>
              <w:rPr>
                <w:rFonts w:ascii="方正书宋_GBK" w:eastAsia="方正书宋_GBK"/>
              </w:rPr>
            </w:p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质量</w:t>
            </w:r>
          </w:p>
        </w:tc>
        <w:tc>
          <w:tcPr>
            <w:tcW w:w="1718" w:type="dxa"/>
            <w:tcBorders>
              <w:tl2br w:val="nil"/>
              <w:tr2bl w:val="nil"/>
            </w:tcBorders>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及时足额率</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及时足额率</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时效</w:t>
            </w:r>
          </w:p>
        </w:tc>
        <w:tc>
          <w:tcPr>
            <w:tcW w:w="1718" w:type="dxa"/>
            <w:tcBorders>
              <w:tl2br w:val="nil"/>
              <w:tr2bl w:val="nil"/>
            </w:tcBorders>
            <w:vAlign w:val="center"/>
          </w:tcPr>
          <w:p>
            <w:pPr>
              <w:widowControl/>
              <w:adjustRightInd w:val="0"/>
              <w:snapToGrid w:val="0"/>
              <w:jc w:val="left"/>
              <w:rPr>
                <w:rFonts w:hint="eastAsia" w:ascii="方正书宋_GBK" w:eastAsia="方正书宋_GBK"/>
                <w:lang w:val="en-US" w:eastAsia="zh-CN"/>
              </w:rPr>
            </w:pPr>
            <w:r>
              <w:rPr>
                <w:rFonts w:hint="eastAsia" w:ascii="方正书宋_GBK" w:eastAsia="方正书宋_GBK"/>
                <w:lang w:val="en-US" w:eastAsia="zh-CN"/>
              </w:rPr>
              <w:t>完成时间</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举办活动完成时间</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11</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月份</w:t>
            </w:r>
          </w:p>
        </w:tc>
        <w:tc>
          <w:tcPr>
            <w:tcW w:w="100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时效</w:t>
            </w:r>
          </w:p>
        </w:tc>
        <w:tc>
          <w:tcPr>
            <w:tcW w:w="1718"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完成时间</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两费及政治生活待遇完成时间</w:t>
            </w:r>
          </w:p>
        </w:tc>
        <w:tc>
          <w:tcPr>
            <w:tcW w:w="6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11</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月份</w:t>
            </w:r>
          </w:p>
        </w:tc>
        <w:tc>
          <w:tcPr>
            <w:tcW w:w="100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adjustRightInd w:val="0"/>
              <w:snapToGrid w:val="0"/>
              <w:jc w:val="center"/>
              <w:rPr>
                <w:rFonts w:hint="eastAsia" w:ascii="方正书宋_GBK" w:eastAsia="方正书宋_GBK"/>
                <w:lang w:eastAsia="zh-CN"/>
              </w:rPr>
            </w:pPr>
            <w:r>
              <w:rPr>
                <w:rFonts w:hint="eastAsia" w:ascii="方正书宋_GBK" w:eastAsia="方正书宋_GBK"/>
                <w:lang w:val="en-US" w:eastAsia="zh-CN"/>
              </w:rPr>
              <w:t>成本</w:t>
            </w:r>
          </w:p>
        </w:tc>
        <w:tc>
          <w:tcPr>
            <w:tcW w:w="1718" w:type="dxa"/>
            <w:tcBorders>
              <w:tl2br w:val="nil"/>
              <w:tr2bl w:val="nil"/>
            </w:tcBorders>
            <w:noWrap/>
            <w:vAlign w:val="center"/>
          </w:tcPr>
          <w:p>
            <w:pPr>
              <w:widowControl/>
              <w:adjustRightInd w:val="0"/>
              <w:snapToGrid w:val="0"/>
              <w:ind w:firstLine="401" w:firstLineChars="0"/>
              <w:jc w:val="both"/>
              <w:rPr>
                <w:rFonts w:hint="default" w:ascii="方正书宋_GBK" w:eastAsia="方正书宋_GBK"/>
                <w:lang w:val="en-US" w:eastAsia="zh-CN"/>
              </w:rPr>
            </w:pPr>
            <w:r>
              <w:rPr>
                <w:rFonts w:hint="eastAsia" w:ascii="方正书宋_GBK" w:eastAsia="方正书宋_GBK"/>
                <w:lang w:val="en-US" w:eastAsia="zh-CN"/>
              </w:rPr>
              <w:t>目总成本项</w:t>
            </w:r>
          </w:p>
        </w:tc>
        <w:tc>
          <w:tcPr>
            <w:tcW w:w="825"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1949" w:type="dxa"/>
            <w:tcBorders>
              <w:tl2br w:val="nil"/>
              <w:tr2bl w:val="nil"/>
            </w:tcBorders>
            <w:noWrap/>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项目总成本控制数</w:t>
            </w:r>
          </w:p>
        </w:tc>
        <w:tc>
          <w:tcPr>
            <w:tcW w:w="6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301</w:t>
            </w:r>
          </w:p>
        </w:tc>
        <w:tc>
          <w:tcPr>
            <w:tcW w:w="69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100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8" w:type="dxa"/>
            <w:vMerge w:val="restart"/>
            <w:tcBorders>
              <w:tl2br w:val="nil"/>
              <w:tr2bl w:val="nil"/>
            </w:tcBorders>
            <w:vAlign w:val="center"/>
          </w:tcPr>
          <w:p>
            <w:pPr>
              <w:jc w:val="center"/>
              <w:rPr>
                <w:rFonts w:hint="default" w:eastAsiaTheme="minorEastAsia"/>
                <w:lang w:val="en-US" w:eastAsia="zh-CN"/>
              </w:rPr>
            </w:pPr>
            <w:r>
              <w:rPr>
                <w:rFonts w:hint="eastAsia"/>
                <w:lang w:val="en-US" w:eastAsia="zh-CN"/>
              </w:rPr>
              <w:t>部门效果</w:t>
            </w:r>
          </w:p>
        </w:tc>
        <w:tc>
          <w:tcPr>
            <w:tcW w:w="1358"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社会效益</w:t>
            </w:r>
          </w:p>
        </w:tc>
        <w:tc>
          <w:tcPr>
            <w:tcW w:w="1718" w:type="dxa"/>
            <w:tcBorders>
              <w:tl2br w:val="nil"/>
              <w:tr2bl w:val="nil"/>
            </w:tcBorders>
            <w:noWrap/>
            <w:vAlign w:val="center"/>
          </w:tcPr>
          <w:p>
            <w:pPr>
              <w:widowControl/>
              <w:adjustRightInd w:val="0"/>
              <w:snapToGrid w:val="0"/>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保障机制率</w:t>
            </w:r>
          </w:p>
        </w:tc>
        <w:tc>
          <w:tcPr>
            <w:tcW w:w="825" w:type="dxa"/>
            <w:tcBorders>
              <w:tl2br w:val="nil"/>
              <w:tr2bl w:val="nil"/>
            </w:tcBorders>
            <w:noWrap/>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20</w:t>
            </w:r>
          </w:p>
        </w:tc>
        <w:tc>
          <w:tcPr>
            <w:tcW w:w="1949" w:type="dxa"/>
            <w:tcBorders>
              <w:tl2br w:val="nil"/>
              <w:tr2bl w:val="nil"/>
            </w:tcBorders>
            <w:noWrap/>
            <w:vAlign w:val="center"/>
          </w:tcPr>
          <w:p>
            <w:pPr>
              <w:widowControl/>
              <w:adjustRightInd w:val="0"/>
              <w:snapToGrid w:val="0"/>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保障机制全面落实</w:t>
            </w:r>
          </w:p>
        </w:tc>
        <w:tc>
          <w:tcPr>
            <w:tcW w:w="60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690"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8" w:type="dxa"/>
            <w:vMerge w:val="continue"/>
            <w:tcBorders>
              <w:tl2br w:val="nil"/>
              <w:tr2bl w:val="nil"/>
            </w:tcBorders>
            <w:vAlign w:val="center"/>
          </w:tcPr>
          <w:p>
            <w:pPr>
              <w:jc w:val="center"/>
              <w:rPr>
                <w:rFonts w:hint="default" w:eastAsiaTheme="minorEastAsia"/>
                <w:lang w:val="en-US" w:eastAsia="zh-CN"/>
              </w:rPr>
            </w:pPr>
          </w:p>
        </w:tc>
        <w:tc>
          <w:tcPr>
            <w:tcW w:w="135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社会效益</w:t>
            </w:r>
          </w:p>
        </w:tc>
        <w:tc>
          <w:tcPr>
            <w:tcW w:w="1718" w:type="dxa"/>
            <w:tcBorders>
              <w:tl2br w:val="nil"/>
              <w:tr2bl w:val="nil"/>
            </w:tcBorders>
            <w:noWrap/>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各项活动覆盖率</w:t>
            </w:r>
          </w:p>
        </w:tc>
        <w:tc>
          <w:tcPr>
            <w:tcW w:w="825" w:type="dxa"/>
            <w:tcBorders>
              <w:tl2br w:val="nil"/>
              <w:tr2bl w:val="nil"/>
            </w:tcBorders>
            <w:noWrap/>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949" w:type="dxa"/>
            <w:tcBorders>
              <w:tl2br w:val="nil"/>
              <w:tr2bl w:val="nil"/>
            </w:tcBorders>
            <w:noWrap/>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各项活动覆盖率</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历史标准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满意度</w:t>
            </w:r>
          </w:p>
        </w:tc>
        <w:tc>
          <w:tcPr>
            <w:tcW w:w="1718" w:type="dxa"/>
            <w:tcBorders>
              <w:tl2br w:val="nil"/>
              <w:tr2bl w:val="nil"/>
            </w:tcBorders>
            <w:noWrap/>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老干部满意率</w:t>
            </w:r>
          </w:p>
        </w:tc>
        <w:tc>
          <w:tcPr>
            <w:tcW w:w="825"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w:t>
            </w:r>
          </w:p>
        </w:tc>
        <w:tc>
          <w:tcPr>
            <w:tcW w:w="1949" w:type="dxa"/>
            <w:tcBorders>
              <w:tl2br w:val="nil"/>
              <w:tr2bl w:val="nil"/>
            </w:tcBorders>
            <w:noWrap/>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老干部满意率</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8" w:type="dxa"/>
            <w:vMerge w:val="continue"/>
            <w:tcBorders>
              <w:tl2br w:val="nil"/>
              <w:tr2bl w:val="nil"/>
            </w:tcBorders>
            <w:vAlign w:val="center"/>
          </w:tcPr>
          <w:p/>
        </w:tc>
        <w:tc>
          <w:tcPr>
            <w:tcW w:w="135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满意度</w:t>
            </w:r>
          </w:p>
        </w:tc>
        <w:tc>
          <w:tcPr>
            <w:tcW w:w="1718" w:type="dxa"/>
            <w:tcBorders>
              <w:tl2br w:val="nil"/>
              <w:tr2bl w:val="nil"/>
            </w:tcBorders>
            <w:noWrap/>
            <w:vAlign w:val="center"/>
          </w:tcPr>
          <w:p>
            <w:pPr>
              <w:widowControl/>
              <w:adjustRightInd w:val="0"/>
              <w:snapToGrid w:val="0"/>
              <w:jc w:val="left"/>
              <w:rPr>
                <w:rFonts w:hint="default" w:ascii="方正书宋_GBK" w:eastAsia="方正书宋_GBK"/>
                <w:lang w:val="en-US" w:eastAsia="zh-CN"/>
              </w:rPr>
            </w:pPr>
            <w:r>
              <w:rPr>
                <w:rFonts w:hint="eastAsia" w:ascii="方正书宋_GBK" w:eastAsia="方正书宋_GBK"/>
                <w:lang w:val="en-US" w:eastAsia="zh-CN"/>
              </w:rPr>
              <w:t>青少年满意率</w:t>
            </w:r>
          </w:p>
        </w:tc>
        <w:tc>
          <w:tcPr>
            <w:tcW w:w="825"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w:t>
            </w:r>
          </w:p>
        </w:tc>
        <w:tc>
          <w:tcPr>
            <w:tcW w:w="1949" w:type="dxa"/>
            <w:tcBorders>
              <w:tl2br w:val="nil"/>
              <w:tr2bl w:val="nil"/>
            </w:tcBorders>
            <w:noWrap/>
            <w:vAlign w:val="center"/>
          </w:tcPr>
          <w:p>
            <w:pPr>
              <w:widowControl/>
              <w:adjustRightInd w:val="0"/>
              <w:snapToGrid w:val="0"/>
              <w:jc w:val="left"/>
              <w:rPr>
                <w:rFonts w:ascii="方正书宋_GBK" w:eastAsia="方正书宋_GBK"/>
              </w:rPr>
            </w:pPr>
            <w:r>
              <w:rPr>
                <w:rFonts w:hint="eastAsia" w:ascii="方正书宋_GBK" w:eastAsia="方正书宋_GBK"/>
                <w:lang w:val="en-US" w:eastAsia="zh-CN"/>
              </w:rPr>
              <w:t>老干部满意率</w:t>
            </w:r>
          </w:p>
        </w:tc>
        <w:tc>
          <w:tcPr>
            <w:tcW w:w="60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olor w:val="000000"/>
                <w:sz w:val="18"/>
              </w:rPr>
              <w:t>≥</w:t>
            </w:r>
          </w:p>
        </w:tc>
        <w:tc>
          <w:tcPr>
            <w:tcW w:w="64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百分比</w:t>
            </w:r>
          </w:p>
        </w:tc>
        <w:tc>
          <w:tcPr>
            <w:tcW w:w="100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w:t>
      </w:r>
      <w:r>
        <w:rPr>
          <w:rFonts w:hint="eastAsia" w:ascii="方正仿宋_GBK" w:eastAsia="方正仿宋_GBK"/>
          <w:b/>
          <w:sz w:val="28"/>
          <w:lang w:val="en-US" w:eastAsia="zh-CN"/>
        </w:rPr>
        <w:t>离休干部慰问资金</w:t>
      </w:r>
      <w:r>
        <w:rPr>
          <w:rFonts w:hint="eastAsia" w:ascii="方正仿宋_GBK" w:eastAsia="方正仿宋_GBK"/>
          <w:b/>
          <w:sz w:val="28"/>
        </w:rPr>
        <w:t>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1.每年春节期间市委老干部局代表市委市政府对全市37位离休干部进行走访慰问，每人每年500元。</w:t>
            </w:r>
          </w:p>
          <w:p>
            <w:pPr>
              <w:spacing w:line="300" w:lineRule="exact"/>
              <w:jc w:val="left"/>
              <w:rPr>
                <w:rFonts w:ascii="方正书宋_GBK" w:eastAsia="方正书宋_GBK"/>
              </w:rPr>
            </w:pPr>
            <w:r>
              <w:rPr>
                <w:rFonts w:hint="eastAsia" w:ascii="方正书宋_GBK" w:eastAsia="方正书宋_GBK"/>
              </w:rPr>
              <w:t>2.通过走访慰问每位离休干部使他们感受到市委市政府对他们的关心。</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慰问人数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参加慰问离休干部人数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历史统计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及时足额率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及时足额发放慰问金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春节期间完成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人均慰问金成本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人均慰问标准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500元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离休干部覆盖率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政治待遇落实率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离休干部满意率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通过调查、抽查了解满意及较满意的离休老干部占总数的比率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问卷调查</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2、离休干部医药费经费</w:t>
      </w:r>
      <w:r>
        <w:rPr>
          <w:rFonts w:hint="eastAsia" w:ascii="方正仿宋_GBK" w:eastAsia="方正仿宋_GBK"/>
          <w:b/>
          <w:sz w:val="28"/>
        </w:rPr>
        <w:t>绩效目标表</w:t>
      </w:r>
    </w:p>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rPr>
              <w:t>1.老干部局2021年为39名离休干部实报实销医药费，确保离休干部生活待遇的落实</w:t>
            </w:r>
            <w:r>
              <w:rPr>
                <w:rFonts w:hint="eastAsia" w:ascii="方正书宋_GBK" w:eastAsia="方正书宋_GBK"/>
                <w:lang w:eastAsia="zh-CN"/>
              </w:rPr>
              <w:t>。</w:t>
            </w:r>
          </w:p>
          <w:p>
            <w:pPr>
              <w:spacing w:line="300" w:lineRule="exact"/>
              <w:jc w:val="left"/>
              <w:rPr>
                <w:rFonts w:hint="eastAsia" w:ascii="方正书宋_GBK" w:eastAsia="方正书宋_GBK"/>
                <w:lang w:eastAsia="zh-CN"/>
              </w:rPr>
            </w:pPr>
            <w:r>
              <w:rPr>
                <w:rFonts w:hint="eastAsia" w:ascii="方正书宋_GBK" w:eastAsia="方正书宋_GBK"/>
              </w:rPr>
              <w:t>2.使他们的晚年无后顾之忧，让每位老干部感受到党对他们政治上的关心、生活上的爱护</w:t>
            </w:r>
            <w:r>
              <w:rPr>
                <w:rFonts w:hint="eastAsia" w:ascii="方正书宋_GBK" w:eastAsia="方正书宋_GBK"/>
                <w:lang w:eastAsia="zh-CN"/>
              </w:rPr>
              <w:t>。</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报销药费人数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报销人数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≤39人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及时足额率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及时足额报销药费</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报销时效</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自收到医院结算单到完成该笔报销的时限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报销药费的支出控制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报销药费的支出控制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以医院结算单为准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保障机制率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保障机制全面落实</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≥90</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离休干部覆盖率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享受全部报销医药费的离休干部覆盖率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离休干部满意率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通过调查、抽查了解满意和较满意离休干部占总数的比率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bl>
    <w:p>
      <w:pPr>
        <w:numPr>
          <w:ilvl w:val="0"/>
          <w:numId w:val="2"/>
        </w:num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离退休干部体检费绩效目标表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1.老干部局每年为全市3500位离退休干部进行一次身体检查，并逐人建立健康档案，保障了老干部的身体健康。</w:t>
            </w:r>
          </w:p>
          <w:p>
            <w:pPr>
              <w:spacing w:line="300" w:lineRule="exact"/>
              <w:jc w:val="left"/>
              <w:rPr>
                <w:rFonts w:hint="eastAsia" w:ascii="方正书宋_GBK" w:eastAsia="方正书宋_GBK"/>
                <w:lang w:eastAsia="zh-CN"/>
              </w:rPr>
            </w:pPr>
            <w:r>
              <w:rPr>
                <w:rFonts w:hint="eastAsia" w:ascii="方正书宋_GBK" w:eastAsia="方正书宋_GBK"/>
              </w:rPr>
              <w:t>2.体现了市委市政府对他们的关心和爱护。</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体检人数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参加体检的离退休干部人数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≥3500人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历史标椎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体检报告合格率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体检报告合格率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时效标准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体检完成时间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≤8月份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项目总成本控制数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≤70万元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老干部体检覆盖率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老干部体检覆盖率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≥90</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老干部满意率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通过调查了解满意和较满意人数占体检老干部总数的比率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bl>
    <w:p>
      <w:pPr>
        <w:numPr>
          <w:ilvl w:val="0"/>
          <w:numId w:val="2"/>
        </w:numPr>
        <w:ind w:left="0" w:leftChars="0" w:firstLine="640" w:firstLineChars="200"/>
        <w:rPr>
          <w:rFonts w:hint="eastAsia" w:ascii="仿宋_GB2312" w:hAnsi="黑体" w:eastAsia="仿宋_GB2312" w:cs="Times New Roman"/>
          <w:color w:val="000000" w:themeColor="text1"/>
          <w:sz w:val="32"/>
          <w:szCs w:val="32"/>
          <w:lang w:val="en-US" w:eastAsia="zh-CN"/>
        </w:rPr>
      </w:pPr>
      <w:r>
        <w:rPr>
          <w:rFonts w:hint="eastAsia" w:ascii="仿宋_GB2312" w:hAnsi="黑体" w:eastAsia="仿宋_GB2312" w:cs="Times New Roman"/>
          <w:color w:val="000000" w:themeColor="text1"/>
          <w:sz w:val="32"/>
          <w:szCs w:val="32"/>
          <w:lang w:val="en-US" w:eastAsia="zh-CN"/>
        </w:rPr>
        <w:t>老干部局综合业务费绩效目标表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关工委每年组织60次3万人次青少年教育活动，为了教育广大学生，提高广大学生的思想品德，对广大学生进行爱国主义教育，关工委准备印制青少年教育系列丛书《霸州名人录》，老年大学600多学员参加11个教学班的550课时，老年书画为100多会员每年组织一次书画展，为了给老年人提供展示才华的舞台，激发老年人对书画艺术的创作兴趣、相互学习、借鉴交流、展示霸州的幸福美好生活，准备在2020年7月份印制《老年书画摄影作品集》，老体协23个活动站800人参加11项体育赛事。</w:t>
            </w:r>
          </w:p>
          <w:p>
            <w:pPr>
              <w:spacing w:line="300" w:lineRule="exact"/>
              <w:jc w:val="left"/>
              <w:rPr>
                <w:rFonts w:hint="eastAsia" w:ascii="方正书宋_GBK" w:eastAsia="方正书宋_GBK"/>
                <w:lang w:eastAsia="zh-CN"/>
              </w:rPr>
            </w:pPr>
            <w:r>
              <w:rPr>
                <w:rFonts w:hint="eastAsia" w:ascii="方正书宋_GBK" w:eastAsia="方正书宋_GBK"/>
              </w:rPr>
              <w:t>2.为了体现党和政府对青少年的关怀，2020年4月份向全市各学校征询5名特困儿童，经核实后在六一儿童节前发放到因病返贫和家庭特别困难的儿童手中</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出版物</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《老年书画摄影作品集》、《霸州名人录》</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2部</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举办活动次数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青少年和老干部举办活动次数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85次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参加人数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青少年和老干部参加人次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≥3.15万人次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救助特困儿童</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救助贫困儿童</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各项活动合格率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各项活动合格率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按时完成率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各项活动按时完成率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项目总成本控制数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≤29.15万元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对青少年思想品德的提升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对青少年思想品德的提升作用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较大</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对提高老干部晚年生活质量的作用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对提高老干部晚年生活质量的作用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较大</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对特困儿童的救助作用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对特困儿童的救助作用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较大</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老干部满意率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通过调查、抽查了解满意和较满意老干部占调查人数的比例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青少年满意度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青少年满意数量占调查人数的比例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w:t>
            </w:r>
            <w:r>
              <w:rPr>
                <w:rFonts w:hint="eastAsia" w:ascii="方正书宋_GBK" w:eastAsia="方正书宋_GBK"/>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计划标准</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default" w:ascii="仿宋_GB2312" w:hAnsi="Times New Roman" w:eastAsia="仿宋_GB2312" w:cs="Times New Roman"/>
          <w:color w:val="000000" w:themeColor="text1"/>
          <w:sz w:val="32"/>
          <w:szCs w:val="32"/>
          <w:lang w:val="en-US" w:eastAsia="zh-CN"/>
        </w:rPr>
      </w:pPr>
      <w:bookmarkStart w:id="3" w:name="_Toc471398468"/>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年，我部门</w:t>
      </w:r>
      <w:r>
        <w:rPr>
          <w:rFonts w:hint="eastAsia" w:ascii="仿宋_GB2312" w:hAnsi="Times New Roman" w:eastAsia="仿宋_GB2312" w:cs="Times New Roman"/>
          <w:color w:val="000000" w:themeColor="text1"/>
          <w:sz w:val="32"/>
          <w:szCs w:val="32"/>
          <w:lang w:val="en-US" w:eastAsia="zh-CN"/>
        </w:rPr>
        <w:t>无政府采购预算。</w:t>
      </w:r>
    </w:p>
    <w:bookmarkEnd w:id="3"/>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老干部局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385.57</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000000" w:themeColor="text1"/>
          <w:sz w:val="32"/>
          <w:szCs w:val="32"/>
        </w:rPr>
        <w:t>本年度各单位（处室）拟购置固定资产总额</w:t>
      </w:r>
      <w:r>
        <w:rPr>
          <w:rFonts w:ascii="仿宋_GB2312" w:hAnsi="黑体" w:eastAsia="仿宋_GB2312" w:cs="Times New Roman"/>
          <w:b w:val="0"/>
          <w:bCs/>
          <w:color w:val="000000" w:themeColor="text1"/>
          <w:sz w:val="32"/>
          <w:szCs w:val="32"/>
        </w:rPr>
        <w:t>为</w:t>
      </w:r>
      <w:r>
        <w:rPr>
          <w:rFonts w:hint="eastAsia" w:ascii="仿宋_GB2312" w:hAnsi="黑体" w:eastAsia="仿宋_GB2312" w:cs="Times New Roman"/>
          <w:b w:val="0"/>
          <w:bCs/>
          <w:color w:val="000000" w:themeColor="text1"/>
          <w:sz w:val="32"/>
          <w:szCs w:val="32"/>
          <w:lang w:val="en-US" w:eastAsia="zh-CN"/>
        </w:rPr>
        <w:t>0</w:t>
      </w:r>
      <w:r>
        <w:rPr>
          <w:rFonts w:ascii="仿宋_GB2312" w:hAnsi="黑体" w:eastAsia="仿宋_GB2312" w:cs="Times New Roman"/>
          <w:b w:val="0"/>
          <w:bCs/>
          <w:color w:val="000000" w:themeColor="text1"/>
          <w:sz w:val="32"/>
          <w:szCs w:val="32"/>
        </w:rPr>
        <w:t>万元</w:t>
      </w:r>
      <w:r>
        <w:rPr>
          <w:rFonts w:hint="eastAsia" w:ascii="仿宋_GB2312" w:hAnsi="黑体" w:eastAsia="仿宋_GB2312" w:cs="Times New Roman"/>
          <w:b w:val="0"/>
          <w:bCs/>
          <w:color w:val="000000" w:themeColor="text1"/>
          <w:sz w:val="32"/>
          <w:szCs w:val="32"/>
        </w:rPr>
        <w:t>，</w:t>
      </w:r>
      <w:r>
        <w:rPr>
          <w:rFonts w:ascii="仿宋_GB2312" w:hAnsi="黑体" w:eastAsia="仿宋_GB2312" w:cs="Times New Roman"/>
          <w:b w:val="0"/>
          <w:bCs/>
          <w:color w:val="000000" w:themeColor="text1"/>
          <w:sz w:val="32"/>
          <w:szCs w:val="32"/>
        </w:rPr>
        <w:t>202</w:t>
      </w:r>
      <w:r>
        <w:rPr>
          <w:rFonts w:hint="eastAsia" w:ascii="仿宋_GB2312" w:hAnsi="黑体" w:eastAsia="仿宋_GB2312" w:cs="Times New Roman"/>
          <w:b w:val="0"/>
          <w:bCs/>
          <w:color w:val="000000" w:themeColor="text1"/>
          <w:sz w:val="32"/>
          <w:szCs w:val="32"/>
          <w:lang w:val="en-US" w:eastAsia="zh-CN"/>
        </w:rPr>
        <w:t>1</w:t>
      </w:r>
      <w:r>
        <w:rPr>
          <w:rFonts w:hint="eastAsia" w:ascii="仿宋_GB2312" w:hAnsi="黑体" w:eastAsia="仿宋_GB2312" w:cs="Times New Roman"/>
          <w:b w:val="0"/>
          <w:bCs/>
          <w:color w:val="000000" w:themeColor="text1"/>
          <w:sz w:val="32"/>
          <w:szCs w:val="32"/>
        </w:rPr>
        <w:t>年</w:t>
      </w:r>
      <w:r>
        <w:rPr>
          <w:rFonts w:ascii="仿宋_GB2312" w:hAnsi="黑体" w:eastAsia="仿宋_GB2312" w:cs="Times New Roman"/>
          <w:b w:val="0"/>
          <w:bCs/>
          <w:color w:val="000000" w:themeColor="text1"/>
          <w:sz w:val="32"/>
          <w:szCs w:val="32"/>
        </w:rPr>
        <w:t>，我部门无新增固定资产计划</w:t>
      </w:r>
      <w:r>
        <w:rPr>
          <w:rFonts w:hint="eastAsia" w:ascii="仿宋_GB2312" w:hAnsi="黑体" w:eastAsia="仿宋_GB2312" w:cs="Times New Roman"/>
          <w:b w:val="0"/>
          <w:bCs/>
          <w:color w:val="000000" w:themeColor="text1"/>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老干部局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803002霸州市委老干部局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385.57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267.60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267.60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107.97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headerReference r:id="rId3" w:type="default"/>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2"/>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A9A8D"/>
    <w:multiLevelType w:val="singleLevel"/>
    <w:tmpl w:val="83EA9A8D"/>
    <w:lvl w:ilvl="0" w:tentative="0">
      <w:start w:val="3"/>
      <w:numFmt w:val="decimal"/>
      <w:suff w:val="nothing"/>
      <w:lvlText w:val="%1、"/>
      <w:lvlJc w:val="left"/>
    </w:lvl>
  </w:abstractNum>
  <w:abstractNum w:abstractNumId="1">
    <w:nsid w:val="F6A5E51D"/>
    <w:multiLevelType w:val="singleLevel"/>
    <w:tmpl w:val="F6A5E51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4ZGQ3N2Y2NDdiMGQ5ZGNkYTMwMzdhMDlmZWM4ZjkifQ=="/>
  </w:docVars>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3AE4BA1"/>
    <w:rsid w:val="042B5C57"/>
    <w:rsid w:val="06812970"/>
    <w:rsid w:val="07DF7345"/>
    <w:rsid w:val="088B5B6D"/>
    <w:rsid w:val="0BBB3DF0"/>
    <w:rsid w:val="0BCC1886"/>
    <w:rsid w:val="0FB31D76"/>
    <w:rsid w:val="111F0404"/>
    <w:rsid w:val="16B14F7C"/>
    <w:rsid w:val="172F7DF3"/>
    <w:rsid w:val="18803607"/>
    <w:rsid w:val="1A5172D5"/>
    <w:rsid w:val="1B3E04CD"/>
    <w:rsid w:val="2054547A"/>
    <w:rsid w:val="25843B26"/>
    <w:rsid w:val="296C01F2"/>
    <w:rsid w:val="29CA4DC8"/>
    <w:rsid w:val="2B1E675E"/>
    <w:rsid w:val="2D063214"/>
    <w:rsid w:val="2EBF186B"/>
    <w:rsid w:val="2F902ACF"/>
    <w:rsid w:val="2F9D17CE"/>
    <w:rsid w:val="32C66339"/>
    <w:rsid w:val="33FF20D0"/>
    <w:rsid w:val="381B3D9C"/>
    <w:rsid w:val="389F72AE"/>
    <w:rsid w:val="3F3556C6"/>
    <w:rsid w:val="400F5B42"/>
    <w:rsid w:val="449567A7"/>
    <w:rsid w:val="4497252E"/>
    <w:rsid w:val="474704D8"/>
    <w:rsid w:val="49D3448F"/>
    <w:rsid w:val="4B11261B"/>
    <w:rsid w:val="4C0528B7"/>
    <w:rsid w:val="4CD107C9"/>
    <w:rsid w:val="53F6621C"/>
    <w:rsid w:val="54B705ED"/>
    <w:rsid w:val="557C5829"/>
    <w:rsid w:val="55AA1534"/>
    <w:rsid w:val="55E155BE"/>
    <w:rsid w:val="57466D01"/>
    <w:rsid w:val="5B881E43"/>
    <w:rsid w:val="5DBE2BBB"/>
    <w:rsid w:val="5E897C24"/>
    <w:rsid w:val="628B1DA0"/>
    <w:rsid w:val="63502E38"/>
    <w:rsid w:val="6C9975D5"/>
    <w:rsid w:val="778F0A1C"/>
    <w:rsid w:val="7B550754"/>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msolistparagraph"/>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6124</Words>
  <Characters>6397</Characters>
  <Lines>23</Lines>
  <Paragraphs>6</Paragraphs>
  <TotalTime>7</TotalTime>
  <ScaleCrop>false</ScaleCrop>
  <LinksUpToDate>false</LinksUpToDate>
  <CharactersWithSpaces>6447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张俊清</cp:lastModifiedBy>
  <cp:lastPrinted>2018-02-28T01:51:00Z</cp:lastPrinted>
  <dcterms:modified xsi:type="dcterms:W3CDTF">2022-09-07T02:46:07Z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4227A2746BB74FDA8F54C50867883CFA</vt:lpwstr>
  </property>
</Properties>
</file>